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IT Approval Form</w:t>
      </w:r>
    </w:p>
    <w:p>
      <w:r>
        <w:rPr>
          <w:i/>
        </w:rPr>
        <w:t>Capture the technical, security, identity, integration, support, and ownership facts needed for it approval.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IT accepts the service design and any documented exceptions before purchase.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requesting system owner; obtain input from IT operations, security, identity, architecture, integration, support, procurement, and the business sponsor.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Service Purpose And Criticality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User Population And Authentication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Data Classification And Residency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Integration And Network Dependency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Administration And Support Model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Exception, Approval, And Review Date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Attach evidence for each high-risk assertion.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Name the production administrator and backup before approval.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Record which party owns integrations and incident escalation.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Time-limit exceptions and assign a closure action.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submitting a product name without an architecture.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leaving identity and offboarding until after contract signature.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assuming the vendor supports an integration because a marketplace listing exists.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approving a service with no operational owner.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NIST Cybersecurity Framework 2.0: </w:t>
      </w:r>
      <w:r>
        <w:t>https://www.nist.gov/cyberframework</w:t>
      </w:r>
    </w:p>
    <w:p>
      <w:pPr>
        <w:pStyle w:val="ListBullet"/>
      </w:pPr>
      <w:r>
        <w:rPr>
          <w:b/>
        </w:rPr>
        <w:t xml:space="preserve">CISA secure-by-design resources: </w:t>
      </w:r>
      <w:r>
        <w:t>https://www.cisa.gov/securebydesign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IT Approval Form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