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Master Services Agreement Review Checklist</w:t>
      </w:r>
    </w:p>
    <w:p>
      <w:r>
        <w:rPr>
          <w:i/>
        </w:rPr>
        <w:t>Organize business and operational review points in a software master services agreement before legal signoff.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commercial and operational obligations match the purchase record and accepted risk.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procurement or legal lead; obtain input from legal, procurement, security, privacy, finance, the service owner, and the vendor account team.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Contract Hierarchy And Incorporated Documents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Fees, Taxes, And Payment Trigger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Warranty And Service Commitment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Security, Privacy, And Incident Duty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Liability, Indemnity, And Insurance Issue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Renewal, Termination, Transition, And Survival Term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Check the order form against the agreement and every linked policy.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Record business consequences beside each requested change.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negotiated terms are not overridden by an online document.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Put notice addresses, deadlines, and renewal ownership in the final record.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reviewing the MSA without the order form.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allowing product URLs to change material terms silently.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accepting a credit as the only remedy without business review.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missing auto-renewal and notice mechanics.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FTC business guidance: </w:t>
      </w:r>
      <w:r>
        <w:t>https://www.ftc.gov/business-guidance</w:t>
      </w:r>
    </w:p>
    <w:p>
      <w:pPr>
        <w:pStyle w:val="ListBullet"/>
      </w:pPr>
      <w:r>
        <w:rPr>
          <w:b/>
        </w:rPr>
        <w:t xml:space="preserve">U.S. General Services Administration acquisition resources: </w:t>
      </w:r>
      <w:r>
        <w:t>https://www.gsa.gov/buy-through-us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Master Services Agreement Review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