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Software Onboarding Email Template</w:t>
      </w:r>
    </w:p>
    <w:p>
      <w:r>
        <w:rPr>
          <w:i/>
        </w:rPr>
        <w:t>Send role-specific launch instructions that explain the business change, required action, support route, and timing.</w:t>
      </w:r>
    </w:p>
    <w:p>
      <w:pPr/>
      <w:r>
        <w:rPr>
          <w:b/>
        </w:rPr>
        <w:t>Working file · Updated 2026-08-29 · Editable for internal business use</w:t>
      </w:r>
    </w:p>
    <w:p>
      <w:pPr>
        <w:pStyle w:val="Heading1"/>
      </w:pPr>
      <w:r>
        <w:t>How to use this file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this file to decide whether recipients have enough information to complete their first required task safely.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The expected coordinator is the rollout communications owner; obtain input from the sponsor, implementation lead, managers, support team, security, and employee communications.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Complete material answers from current documents, controlled tests, or accepted decisions.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Mark unknowns openly, assign an owner and due date, and preserve the final accepted evidence.</w:t>
      </w:r>
    </w:p>
    <w:p>
      <w:pPr>
        <w:pStyle w:val="Heading1"/>
      </w:pPr>
      <w:r>
        <w:t>Document control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Decision or project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Document owner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Vendor or service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>
              <w:rPr>
                <w:b/>
              </w:rPr>
              <w:t>Review date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Decision deadline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  <w:tc>
          <w:tcPr>
            <w:tcW w:type="dxa" w:w="234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b/>
              </w:rPr>
              <w:t>Final status</w:t>
            </w:r>
          </w:p>
        </w:tc>
        <w:tc>
          <w:tcPr>
            <w:tcW w:type="dxa" w:w="234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1"/>
      </w:pPr>
      <w:r>
        <w:t>Copy-ready email</w:t>
      </w:r>
    </w:p>
    <w:p>
      <w:r>
        <w:rPr>
          <w:b/>
        </w:rPr>
        <w:t xml:space="preserve">Subject: </w:t>
      </w:r>
      <w:r>
        <w:t>Action required: [software name] access and first task by [date]</w:t>
      </w:r>
    </w:p>
    <w:p>
      <w:r>
        <w:rPr>
          <w:b/>
        </w:rPr>
        <w:t xml:space="preserve">Opening: </w:t>
      </w:r>
      <w:r>
        <w:t>We are moving [workflow] to [software name] so that [business outcome]. Your access begins [date].</w:t>
      </w:r>
    </w:p>
    <w:p>
      <w:r>
        <w:rPr>
          <w:b/>
        </w:rPr>
        <w:t xml:space="preserve">Required action: </w:t>
      </w:r>
      <w:r>
        <w:t>Sign in through [approved route], complete [first task], and finish [training] by [deadline].</w:t>
      </w:r>
    </w:p>
    <w:p>
      <w:r>
        <w:rPr>
          <w:b/>
        </w:rPr>
        <w:t xml:space="preserve">Support and security: </w:t>
      </w:r>
      <w:r>
        <w:t>Use [support channel] for help. Do not share credentials or approve an unexpected sign-in request.</w:t>
      </w:r>
    </w:p>
    <w:p>
      <w:r>
        <w:rPr>
          <w:b/>
        </w:rPr>
        <w:t xml:space="preserve">Manager follow-up: </w:t>
      </w:r>
      <w:r>
        <w:t>Confirm that your team can complete [workflow] and report blocked users to [owner] by [date].</w:t>
      </w:r>
    </w:p>
    <w:p>
      <w:pPr>
        <w:pStyle w:val="Heading1"/>
      </w:pPr>
      <w:r>
        <w:t>Decision record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Field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Response or decision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Owner</w:t>
            </w:r>
          </w:p>
        </w:tc>
        <w:tc>
          <w:tcPr>
            <w:tcW w:type="dxa" w:w="2340"/>
            <w:shd w:fill="E8EEF5"/>
          </w:tcPr>
          <w:p>
            <w:pPr>
              <w:keepNext/>
            </w:pPr>
            <w:r>
              <w:rPr>
                <w:b/>
              </w:rPr>
              <w:t>Evidence / date</w:t>
            </w:r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Audience And Sender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Reason For The Change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Required Action And Deadline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Sign-In And Access Route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>
              <w:t>Training And Support Link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pPr>
              <w:keepNext/>
            </w:pPr>
            <w:r/>
          </w:p>
        </w:tc>
      </w:tr>
      <w:tr>
        <w:trPr>
          <w:cantSplit/>
        </w:trPr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>
              <w:t>Security Reminder And Escalation Contact</w:t>
            </w:r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  <w:tc>
          <w:tcPr>
            <w:tcW w:type="dxa" w:w="2340"/>
            <w:tcMar>
              <w:top w:w="100" w:type="dxa"/>
              <w:start w:w="120" w:type="dxa"/>
              <w:bottom w:w="100" w:type="dxa"/>
              <w:end w:w="120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Decision rules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Send different instructions to users, managers, and administrators.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Lead with the required action rather than product promotion.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Use only approved sign-in links and support channels.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Schedule a follow-up for people who cannot complete the first task.</w:t>
      </w:r>
    </w:p>
    <w:p>
      <w:pPr>
        <w:pStyle w:val="Heading1"/>
      </w:pPr>
      <w:r>
        <w:t>Failure checks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sending one long message to every role.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including temporary credentials in email.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describing features without explaining the changed workflow.</w:t>
      </w:r>
    </w:p>
    <w:p>
      <w:pPr>
        <w:ind w:left="202" w:hanging="202"/>
      </w:pPr>
      <w:r>
        <w:rPr>
          <w:rFonts w:ascii="Segoe UI Symbol" w:hAnsi="Segoe UI Symbol"/>
        </w:rPr>
        <w:t xml:space="preserve">☐ </w:t>
      </w:r>
      <w:r>
        <w:t>Confirm the record avoids hiding the support route at the bottom.</w:t>
      </w:r>
    </w:p>
    <w:p>
      <w:pPr>
        <w:pStyle w:val="Heading1"/>
      </w:pPr>
      <w:r>
        <w:t>Approval and follow-up</w:t>
      </w:r>
    </w:p>
    <w:tbl>
      <w:tblPr>
        <w:tblStyle w:val="TableGrid"/>
        <w:tblW w:type="dxa" w:w="9360"/>
        <w:jc w:val="center"/>
        <w:tblLook w:firstColumn="1" w:firstRow="1" w:lastColumn="0" w:lastRow="0" w:noHBand="0" w:noVBand="1" w:val="04A0"/>
        <w:tblInd w:w="120" w:type="dxa"/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Decision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Approver and role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Accepted exceptions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  <w:r>
              <w:rPr>
                <w:b/>
              </w:rPr>
              <w:t>Required follow-up and owner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pPr>
              <w:keepNext/>
            </w:pPr>
          </w:p>
        </w:tc>
      </w:tr>
      <w:tr>
        <w:trPr>
          <w:cantSplit/>
        </w:trPr>
        <w:tc>
          <w:tcPr>
            <w:tcW w:type="dxa" w:w="4680"/>
            <w:shd w:fill="E8EEF5"/>
            <w:tcMar>
              <w:top w:w="80" w:type="dxa"/>
              <w:start w:w="120" w:type="dxa"/>
              <w:bottom w:w="80" w:type="dxa"/>
              <w:end w:w="120" w:type="dxa"/>
            </w:tcMar>
          </w:tcPr>
          <w:p>
            <w:r>
              <w:rPr>
                <w:b/>
              </w:rPr>
              <w:t>Next review date</w:t>
            </w:r>
          </w:p>
        </w:tc>
        <w:tc>
          <w:tcPr>
            <w:tcW w:type="dxa" w:w="4680"/>
            <w:tcMar>
              <w:top w:w="80" w:type="dxa"/>
              <w:start w:w="120" w:type="dxa"/>
              <w:bottom w:w="80" w:type="dxa"/>
              <w:end w:w="120" w:type="dxa"/>
            </w:tcMar>
          </w:tcPr>
          <w:p/>
        </w:tc>
      </w:tr>
    </w:tbl>
    <w:p>
      <w:pPr>
        <w:pStyle w:val="Heading1"/>
      </w:pPr>
      <w:r>
        <w:t>Authoritative references</w:t>
      </w:r>
    </w:p>
    <w:p>
      <w:pPr>
        <w:pStyle w:val="ListBullet"/>
      </w:pPr>
      <w:r>
        <w:rPr>
          <w:b/>
        </w:rPr>
        <w:t xml:space="preserve">CISA phishing-resistant communications guidance: </w:t>
      </w:r>
      <w:r>
        <w:t>https://www.cisa.gov/secure-our-world</w:t>
      </w:r>
    </w:p>
    <w:p>
      <w:pPr>
        <w:pStyle w:val="ListBullet"/>
      </w:pPr>
      <w:r>
        <w:rPr>
          <w:b/>
        </w:rPr>
        <w:t xml:space="preserve">PlainLanguage.gov guidelines: </w:t>
      </w:r>
      <w:r>
        <w:t>https://www.plainlanguage.gov/guidelines/</w:t>
      </w:r>
    </w:p>
    <w:p>
      <w:r>
        <w:rPr>
          <w:b/>
        </w:rPr>
        <w:t xml:space="preserve">Use boundary: </w:t>
      </w:r>
      <w:r>
        <w:t>This file organizes procurement evidence. It does not replace legal, accounting, security, privacy, tax, regulatory, or technical advice for the actual transaction.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color w:val="536875"/>
        <w:sz w:val="18"/>
      </w:rPr>
      <w:t xml:space="preserve">PR97 ·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4680"/>
      <w:gridCol w:w="4680"/>
    </w:tblGrid>
    <w:tr>
      <w:tc>
        <w:tcPr>
          <w:tcW w:type="dxa" w:w="4680"/>
        </w:tcPr>
        <w:p>
          <w:r>
            <w:rPr>
              <w:b/>
            </w:rPr>
            <w:t>Software Onboarding Email Template</w:t>
          </w:r>
        </w:p>
      </w:tc>
      <w:tc>
        <w:tcPr>
          <w:tcW w:type="dxa" w:w="4680"/>
        </w:tcPr>
        <w:p>
          <w:pPr>
            <w:jc w:val="right"/>
          </w:pPr>
          <w:r>
            <w:rPr>
              <w:b/>
              <w:color w:val="087C73"/>
            </w:rPr>
            <w:t>PR97 Procurement Lab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00" w:lineRule="auto" w:after="120"/>
    </w:pPr>
    <w:rPr>
      <w:rFonts w:ascii="Calibri" w:hAnsi="Calibri"/>
      <w:color w:val="263441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Calibri" w:hAnsi="Calibri"/>
      <w:b/>
      <w:bCs/>
      <w:color w:val="2E74B5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Calibri" w:hAnsi="Calibri"/>
      <w:b/>
      <w:bCs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Calibri" w:hAnsi="Calibri"/>
      <w:b/>
      <w:bCs/>
      <w:color w:val="1F4D78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 w:before="0"/>
      <w:contextualSpacing/>
    </w:pPr>
    <w:rPr>
      <w:rFonts w:asciiTheme="majorHAnsi" w:eastAsiaTheme="majorEastAsia" w:hAnsiTheme="majorHAnsi" w:cstheme="majorBidi" w:ascii="Calibri" w:hAnsi="Calibri"/>
      <w:b/>
      <w:color w:val="1F4D78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