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SaaS RFP Template</w:t>
      </w:r>
    </w:p>
    <w:p>
      <w:r>
        <w:rPr>
          <w:i/>
        </w:rPr>
        <w:t>Issue a concise, comparable request for proposal covering workflows, evidence, implementation, security, pricing, and contract terms.</w:t>
      </w:r>
    </w:p>
    <w:p>
      <w:pPr/>
      <w:r>
        <w:rPr>
          <w:b/>
        </w:rPr>
        <w:t>Working file · Updated 2026-08-29 · Editable for internal business use</w:t>
      </w:r>
    </w:p>
    <w:p>
      <w:pPr>
        <w:pStyle w:val="Heading1"/>
      </w:pPr>
      <w:r>
        <w:t>How to use this file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Use this file to decide which suppliers should advance based on complete, comparable written responses.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The expected coordinator is the sourcing lead; obtain input from business owners, procurement, finance, IT, security, privacy, legal, implementation leads, and evaluators.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Complete material answers from current documents, controlled tests, or accepted decisions.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Mark unknowns openly, assign an owner and due date, and preserve the final accepted evidence.</w:t>
      </w:r>
    </w:p>
    <w:p>
      <w:pPr>
        <w:pStyle w:val="Heading1"/>
      </w:pPr>
      <w:r>
        <w:t>Document control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Decision or project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Document owner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Vendor or service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Review date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b/>
              </w:rPr>
              <w:t>Decision deadline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b/>
              </w:rPr>
              <w:t>Final status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</w:tbl>
    <w:p>
      <w:pPr>
        <w:pStyle w:val="Heading1"/>
      </w:pPr>
      <w:r>
        <w:t>Vendor response structure</w:t>
      </w:r>
    </w:p>
    <w:p>
      <w:pPr>
        <w:pStyle w:val="Heading2"/>
      </w:pPr>
      <w:r>
        <w:t>Company and proposed solution</w:t>
      </w:r>
    </w:p>
    <w:p>
      <w:r>
        <w:t>Vendor response:</w:t>
      </w:r>
    </w:p>
    <w:p>
      <w:r>
        <w:t>Buyer evaluation note:</w:t>
      </w:r>
    </w:p>
    <w:p>
      <w:pPr>
        <w:pStyle w:val="Heading2"/>
      </w:pPr>
      <w:r>
        <w:t>Required workflow responses</w:t>
      </w:r>
    </w:p>
    <w:p>
      <w:r>
        <w:t>Vendor response:</w:t>
      </w:r>
    </w:p>
    <w:p>
      <w:r>
        <w:t>Buyer evaluation note:</w:t>
      </w:r>
    </w:p>
    <w:p>
      <w:pPr>
        <w:pStyle w:val="Heading2"/>
      </w:pPr>
      <w:r>
        <w:t>Implementation and migration plan</w:t>
      </w:r>
    </w:p>
    <w:p>
      <w:r>
        <w:t>Vendor response:</w:t>
      </w:r>
    </w:p>
    <w:p>
      <w:r>
        <w:t>Buyer evaluation note:</w:t>
      </w:r>
    </w:p>
    <w:p>
      <w:pPr>
        <w:pStyle w:val="Heading2"/>
      </w:pPr>
      <w:r>
        <w:t>Security, privacy, and assurance evidence</w:t>
      </w:r>
    </w:p>
    <w:p>
      <w:r>
        <w:t>Vendor response:</w:t>
      </w:r>
    </w:p>
    <w:p>
      <w:r>
        <w:t>Buyer evaluation note:</w:t>
      </w:r>
    </w:p>
    <w:p>
      <w:pPr>
        <w:pStyle w:val="Heading2"/>
      </w:pPr>
      <w:r>
        <w:t>Support and service commitments</w:t>
      </w:r>
    </w:p>
    <w:p>
      <w:r>
        <w:t>Vendor response:</w:t>
      </w:r>
    </w:p>
    <w:p>
      <w:r>
        <w:t>Buyer evaluation note:</w:t>
      </w:r>
    </w:p>
    <w:p>
      <w:pPr>
        <w:pStyle w:val="Heading2"/>
      </w:pPr>
      <w:r>
        <w:t>Pricing schedule and assumptions</w:t>
      </w:r>
    </w:p>
    <w:p>
      <w:r>
        <w:t>Vendor response:</w:t>
      </w:r>
    </w:p>
    <w:p>
      <w:r>
        <w:t>Buyer evaluation note:</w:t>
      </w:r>
    </w:p>
    <w:p>
      <w:pPr>
        <w:pStyle w:val="Heading2"/>
      </w:pPr>
      <w:r>
        <w:t>Contract exceptions</w:t>
      </w:r>
    </w:p>
    <w:p>
      <w:r>
        <w:t>Vendor response:</w:t>
      </w:r>
    </w:p>
    <w:p>
      <w:r>
        <w:t>Buyer evaluation note:</w:t>
      </w:r>
    </w:p>
    <w:p>
      <w:pPr>
        <w:pStyle w:val="Heading2"/>
      </w:pPr>
      <w:r>
        <w:t>References and response certification</w:t>
      </w:r>
    </w:p>
    <w:p>
      <w:r>
        <w:t>Vendor response:</w:t>
      </w:r>
    </w:p>
    <w:p>
      <w:r>
        <w:t>Buyer evaluation note:</w:t>
      </w:r>
    </w:p>
    <w:p>
      <w:pPr>
        <w:pStyle w:val="Heading1"/>
      </w:pPr>
      <w:r>
        <w:t>Decision record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Field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Response or decision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Owner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Evidence / date</w:t>
            </w:r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Background And Decision Timetable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Required Outcomes And Use Cases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Technical And Control Requirements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Implementation And Migration Scope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Pricing Response Schedule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>
              <w:t>Contract Exceptions, References, And Response Certification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</w:tr>
    </w:tbl>
    <w:p>
      <w:pPr>
        <w:pStyle w:val="Heading1"/>
      </w:pPr>
      <w:r>
        <w:t>Decision rules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Ask vendors to answer in the supplied structure.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Separate mandatory gates from scored requirements.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Provide one volume and user forecast to every bidder.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Define how omissions, assumptions, and alternative proposals will be treated.</w:t>
      </w:r>
    </w:p>
    <w:p>
      <w:pPr>
        <w:pStyle w:val="Heading1"/>
      </w:pPr>
      <w:r>
        <w:t>Failure checks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sending a feature inventory with no business scenario.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letting each vendor invent pricing assumptions.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asking broad security questions without evidence requests.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changing scoring after responses arrive.</w:t>
      </w:r>
    </w:p>
    <w:p>
      <w:pPr>
        <w:pStyle w:val="Heading1"/>
      </w:pPr>
      <w:r>
        <w:t>Approval and follow-up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Decision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Approver and role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Accepted exceptions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Required follow-up and owner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b/>
              </w:rPr>
              <w:t>Next review date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</w:tr>
    </w:tbl>
    <w:p>
      <w:pPr>
        <w:pStyle w:val="Heading1"/>
      </w:pPr>
      <w:r>
        <w:t>Authoritative references</w:t>
      </w:r>
    </w:p>
    <w:p>
      <w:pPr>
        <w:pStyle w:val="ListBullet"/>
      </w:pPr>
      <w:r>
        <w:rPr>
          <w:b/>
        </w:rPr>
        <w:t xml:space="preserve">U.S. General Services Administration acquisition resources: </w:t>
      </w:r>
      <w:r>
        <w:t>https://www.gsa.gov/buy-through-us</w:t>
      </w:r>
    </w:p>
    <w:p>
      <w:pPr>
        <w:pStyle w:val="ListBullet"/>
      </w:pPr>
      <w:r>
        <w:rPr>
          <w:b/>
        </w:rPr>
        <w:t xml:space="preserve">NIST systems acquisition guidance: </w:t>
      </w:r>
      <w:r>
        <w:t>https://csrc.nist.gov/publications/detail/sp/800-161/rev-1/final</w:t>
      </w:r>
    </w:p>
    <w:p>
      <w:r>
        <w:rPr>
          <w:b/>
        </w:rPr>
        <w:t xml:space="preserve">Use boundary: </w:t>
      </w:r>
      <w:r>
        <w:t>This file organizes procurement evidence. It does not replace legal, accounting, security, privacy, tax, regulatory, or technical advice for the actual transaction.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color w:val="536875"/>
        <w:sz w:val="18"/>
      </w:rPr>
      <w:t xml:space="preserve">PR97 · </w:t>
      <w:fldChar w:fldCharType="begin"/>
      <w:instrText xml:space="preserve">PAGE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jc w:val="center"/>
      <w:tblLook w:firstColumn="1" w:firstRow="1" w:lastColumn="0" w:lastRow="0" w:noHBand="0" w:noVBand="1" w:val="04A0"/>
      <w:tblBorders>
        <w:top w:val="nil"/>
        <w:left w:val="nil"/>
        <w:bottom w:val="nil"/>
        <w:right w:val="nil"/>
        <w:insideH w:val="nil"/>
        <w:insideV w:val="nil"/>
      </w:tblBorders>
    </w:tblPr>
    <w:tblGrid>
      <w:gridCol w:w="4680"/>
      <w:gridCol w:w="4680"/>
    </w:tblGrid>
    <w:tr>
      <w:tc>
        <w:tcPr>
          <w:tcW w:type="dxa" w:w="4680"/>
        </w:tcPr>
        <w:p>
          <w:r>
            <w:rPr>
              <w:b/>
            </w:rPr>
            <w:t>SaaS RFP Template</w:t>
          </w:r>
        </w:p>
      </w:tc>
      <w:tc>
        <w:tcPr>
          <w:tcW w:type="dxa" w:w="4680"/>
        </w:tcPr>
        <w:p>
          <w:pPr>
            <w:jc w:val="right"/>
          </w:pPr>
          <w:r>
            <w:rPr>
              <w:b/>
              <w:color w:val="087C73"/>
            </w:rPr>
            <w:t>PR97 Procurement Lab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00" w:lineRule="auto" w:after="120"/>
    </w:pPr>
    <w:rPr>
      <w:rFonts w:ascii="Calibri" w:hAnsi="Calibri"/>
      <w:color w:val="263441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60" w:after="200"/>
      <w:outlineLvl w:val="0"/>
    </w:pPr>
    <w:rPr>
      <w:rFonts w:asciiTheme="majorHAnsi" w:eastAsiaTheme="majorEastAsia" w:hAnsiTheme="majorHAnsi" w:cstheme="majorBidi" w:ascii="Calibri" w:hAnsi="Calibri"/>
      <w:b/>
      <w:bCs/>
      <w:color w:val="2E74B5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40"/>
      <w:outlineLvl w:val="1"/>
    </w:pPr>
    <w:rPr>
      <w:rFonts w:asciiTheme="majorHAnsi" w:eastAsiaTheme="majorEastAsia" w:hAnsiTheme="majorHAnsi" w:cstheme="majorBidi" w:ascii="Calibri" w:hAnsi="Calibri"/>
      <w:b/>
      <w:bCs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 w:ascii="Calibri" w:hAnsi="Calibri"/>
      <w:b/>
      <w:bCs/>
      <w:color w:val="1F4D78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200" w:line="240" w:lineRule="auto" w:before="0"/>
      <w:contextualSpacing/>
    </w:pPr>
    <w:rPr>
      <w:rFonts w:asciiTheme="majorHAnsi" w:eastAsiaTheme="majorEastAsia" w:hAnsiTheme="majorHAnsi" w:cstheme="majorBidi" w:ascii="Calibri" w:hAnsi="Calibri"/>
      <w:b/>
      <w:color w:val="1F4D78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