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SaaS Security Review Intake Form</w:t>
      </w:r>
    </w:p>
    <w:p>
      <w:r>
        <w:rPr>
          <w:i/>
        </w:rPr>
        <w:t>Collect enough service, data, access, architecture, vendor, and business context to scope a security review.</w:t>
      </w:r>
    </w:p>
    <w:p>
      <w:pPr/>
      <w:r>
        <w:rPr>
          <w:b/>
        </w:rPr>
        <w:t>Working file · Updated 2026-08-29 · Editable for internal business use</w:t>
      </w:r>
    </w:p>
    <w:p>
      <w:pPr>
        <w:pStyle w:val="Heading1"/>
      </w:pPr>
      <w:r>
        <w:t>How to use this file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Use this file to decide which risk tier and evidence path should apply before the security assessment begins.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The expected coordinator is the requesting business or system owner; obtain input from information security, privacy, IT architecture, identity, procurement, legal, data owners, and the vendor.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Complete material answers from current documents, controlled tests, or accepted decisions.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Mark unknowns openly, assign an owner and due date, and preserve the final accepted evidence.</w:t>
      </w:r>
    </w:p>
    <w:p>
      <w:pPr>
        <w:pStyle w:val="Heading1"/>
      </w:pPr>
      <w:r>
        <w:t>Document control</w:t>
      </w:r>
    </w:p>
    <w:tbl>
      <w:tblPr>
        <w:tblStyle w:val="TableGrid"/>
        <w:tblW w:type="dxa" w:w="9360"/>
        <w:jc w:val="center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b/>
              </w:rPr>
              <w:t>Decision or project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/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b/>
              </w:rPr>
              <w:t>Document owner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b/>
              </w:rPr>
              <w:t>Vendor or service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/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b/>
              </w:rPr>
              <w:t>Review date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Decision deadline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/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Final status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Decision record</w:t>
      </w:r>
    </w:p>
    <w:tbl>
      <w:tblPr>
        <w:tblStyle w:val="TableGrid"/>
        <w:tblW w:type="dxa" w:w="9360"/>
        <w:jc w:val="center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E8EEF5"/>
          </w:tcPr>
          <w:p>
            <w:pPr>
              <w:keepNext/>
            </w:pPr>
            <w:r>
              <w:rPr>
                <w:b/>
              </w:rPr>
              <w:t>Field</w:t>
            </w:r>
          </w:p>
        </w:tc>
        <w:tc>
          <w:tcPr>
            <w:tcW w:type="dxa" w:w="2340"/>
            <w:shd w:fill="E8EEF5"/>
          </w:tcPr>
          <w:p>
            <w:pPr>
              <w:keepNext/>
            </w:pPr>
            <w:r>
              <w:rPr>
                <w:b/>
              </w:rPr>
              <w:t>Response or decision</w:t>
            </w:r>
          </w:p>
        </w:tc>
        <w:tc>
          <w:tcPr>
            <w:tcW w:type="dxa" w:w="2340"/>
            <w:shd w:fill="E8EEF5"/>
          </w:tcPr>
          <w:p>
            <w:pPr>
              <w:keepNext/>
            </w:pPr>
            <w:r>
              <w:rPr>
                <w:b/>
              </w:rPr>
              <w:t>Owner</w:t>
            </w:r>
          </w:p>
        </w:tc>
        <w:tc>
          <w:tcPr>
            <w:tcW w:type="dxa" w:w="2340"/>
            <w:shd w:fill="E8EEF5"/>
          </w:tcPr>
          <w:p>
            <w:pPr>
              <w:keepNext/>
            </w:pPr>
            <w:r>
              <w:rPr>
                <w:b/>
              </w:rPr>
              <w:t>Evidence / date</w:t>
            </w:r>
          </w:p>
        </w:tc>
      </w:tr>
      <w:tr>
        <w:trPr>
          <w:cantSplit/>
        </w:trP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>
              <w:t>Service Purpose And Business Criticality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>
              <w:t>Data Types, Volume, And Residency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>
              <w:t>Users, Privileged Roles, And Authentication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>
              <w:t>Integrations, Agents, And Network Connections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>
              <w:t>Vendor Hosting And Subprocessors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</w:pPr>
            <w:r/>
          </w:p>
        </w:tc>
      </w:tr>
      <w:tr>
        <w:trPr>
          <w:cantSplit/>
        </w:trP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>
              <w:t>Availability Need, Incident Route, And Requested Launch Date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/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r/>
          </w:p>
        </w:tc>
      </w:tr>
    </w:tbl>
    <w:p>
      <w:pPr>
        <w:pStyle w:val="Heading1"/>
      </w:pPr>
      <w:r>
        <w:t>Decision rules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Describe the intended configuration rather than the vendor generally.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Classify the highest-risk data expected in normal or support use.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List every production integration and privileged connector.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Update the intake when scope changes during procurement.</w:t>
      </w:r>
    </w:p>
    <w:p>
      <w:pPr>
        <w:pStyle w:val="Heading1"/>
      </w:pPr>
      <w:r>
        <w:t>Failure checks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Confirm the record avoids submitting marketing material instead of architecture facts.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Confirm the record avoids excluding test or support data.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Confirm the record avoids missing browser extensions and desktop agents.</w:t>
      </w:r>
    </w:p>
    <w:p>
      <w:pPr>
        <w:ind w:left="202" w:hanging="202"/>
      </w:pPr>
      <w:r>
        <w:rPr>
          <w:rFonts w:ascii="Segoe UI Symbol" w:hAnsi="Segoe UI Symbol"/>
        </w:rPr>
        <w:t xml:space="preserve">☐ </w:t>
      </w:r>
      <w:r>
        <w:t>Confirm the record avoids requesting an urgent review after the contract deadline.</w:t>
      </w:r>
    </w:p>
    <w:p>
      <w:pPr>
        <w:pStyle w:val="Heading1"/>
      </w:pPr>
      <w:r>
        <w:t>Approval and follow-up</w:t>
      </w:r>
    </w:p>
    <w:tbl>
      <w:tblPr>
        <w:tblStyle w:val="TableGrid"/>
        <w:tblW w:type="dxa" w:w="9360"/>
        <w:jc w:val="center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</w:rPr>
              <w:t>Decision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</w:p>
        </w:tc>
      </w:tr>
      <w:tr>
        <w:trPr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</w:rPr>
              <w:t>Approver and role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</w:p>
        </w:tc>
      </w:tr>
      <w:tr>
        <w:trPr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</w:rPr>
              <w:t>Accepted exceptions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</w:p>
        </w:tc>
      </w:tr>
      <w:tr>
        <w:trPr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  <w:r>
              <w:rPr>
                <w:b/>
              </w:rPr>
              <w:t>Required follow-up and owner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</w:pPr>
          </w:p>
        </w:tc>
      </w:tr>
      <w:tr>
        <w:trPr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</w:rPr>
              <w:t>Next review date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pStyle w:val="Heading1"/>
      </w:pPr>
      <w:r>
        <w:t>Authoritative references</w:t>
      </w:r>
    </w:p>
    <w:p>
      <w:pPr>
        <w:pStyle w:val="ListBullet"/>
      </w:pPr>
      <w:r>
        <w:rPr>
          <w:b/>
        </w:rPr>
        <w:t xml:space="preserve">NIST Cybersecurity Framework 2.0: </w:t>
      </w:r>
      <w:r>
        <w:t>https://www.nist.gov/cyberframework</w:t>
      </w:r>
    </w:p>
    <w:p>
      <w:pPr>
        <w:pStyle w:val="ListBullet"/>
      </w:pPr>
      <w:r>
        <w:rPr>
          <w:b/>
        </w:rPr>
        <w:t xml:space="preserve">CISA Secure Cloud Business Applications project: </w:t>
      </w:r>
      <w:r>
        <w:t>https://www.cisa.gov/resources-tools/resources/secure-cloud-business-applications-scuba-project</w:t>
      </w:r>
    </w:p>
    <w:p>
      <w:r>
        <w:rPr>
          <w:b/>
        </w:rPr>
        <w:t xml:space="preserve">Use boundary: </w:t>
      </w:r>
      <w:r>
        <w:t>This file organizes procurement evidence. It does not replace legal, accounting, security, privacy, tax, regulatory, or technical advice for the actual transaction.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36875"/>
        <w:sz w:val="18"/>
      </w:rPr>
      <w:t xml:space="preserve">PR97 ·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680"/>
      <w:gridCol w:w="4680"/>
    </w:tblGrid>
    <w:tr>
      <w:tc>
        <w:tcPr>
          <w:tcW w:type="dxa" w:w="4680"/>
        </w:tcPr>
        <w:p>
          <w:r>
            <w:rPr>
              <w:b/>
            </w:rPr>
            <w:t>SaaS Security Review Intake Form</w:t>
          </w:r>
        </w:p>
      </w:tc>
      <w:tc>
        <w:tcPr>
          <w:tcW w:type="dxa" w:w="4680"/>
        </w:tcPr>
        <w:p>
          <w:pPr>
            <w:jc w:val="right"/>
          </w:pPr>
          <w:r>
            <w:rPr>
              <w:b/>
              <w:color w:val="087C73"/>
            </w:rPr>
            <w:t>PR97 Procurement Lab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Calibri" w:hAnsi="Calibri"/>
      <w:color w:val="26344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