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Software Stakeholder Interview Guide</w:t>
      </w:r>
    </w:p>
    <w:p>
      <w:r>
        <w:rPr>
          <w:i/>
        </w:rPr>
        <w:t>Collect workflow, exception, data, control, adoption, reporting, and success needs before writing software requirements.</w:t>
      </w:r>
    </w:p>
    <w:p>
      <w:pPr/>
      <w:r>
        <w:rPr>
          <w:b/>
        </w:rPr>
        <w:t>Working file · Updated 2026-08-29 · Editable for internal business use</w:t>
      </w:r>
    </w:p>
    <w:p>
      <w:pPr>
        <w:pStyle w:val="Heading1"/>
      </w:pPr>
      <w:r>
        <w:t>How to use this file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Use this file to decide whether the buying team understands the current process and conflicting stakeholder constraints.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The expected coordinator is the discovery or business analysis lead; obtain input from process owners, frontline users, managers, administrators, finance, IT, security, compliance, and support.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Complete material answers from current documents, controlled tests, or accepted decisions.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Mark unknowns openly, assign an owner and due date, and preserve the final accepted evidence.</w:t>
      </w:r>
    </w:p>
    <w:p>
      <w:pPr>
        <w:pStyle w:val="Heading1"/>
      </w:pPr>
      <w:r>
        <w:t>Document control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Decision or project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Document owner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Vendor or service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Review date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b/>
              </w:rPr>
              <w:t>Decision deadline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b/>
              </w:rPr>
              <w:t>Final status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</w:tbl>
    <w:p>
      <w:pPr>
        <w:pStyle w:val="Heading1"/>
      </w:pPr>
      <w:r>
        <w:t>Interview record</w:t>
      </w:r>
    </w:p>
    <w:p>
      <w:pPr>
        <w:pStyle w:val="Heading2"/>
      </w:pPr>
      <w:r>
        <w:t>1. Describe the last time this workflow occurred.</w:t>
      </w:r>
    </w:p>
    <w:p>
      <w:r>
        <w:t>Notes and evidence:</w:t>
      </w:r>
    </w:p>
    <w:p>
      <w:pPr>
        <w:pStyle w:val="Heading2"/>
      </w:pPr>
      <w:r>
        <w:t>2. What triggers the work and who receives the output?</w:t>
      </w:r>
    </w:p>
    <w:p>
      <w:r>
        <w:t>Notes and evidence:</w:t>
      </w:r>
    </w:p>
    <w:p>
      <w:pPr>
        <w:pStyle w:val="Heading2"/>
      </w:pPr>
      <w:r>
        <w:t>3. Where do delays, rework, or exceptions occur?</w:t>
      </w:r>
    </w:p>
    <w:p>
      <w:r>
        <w:t>Notes and evidence:</w:t>
      </w:r>
    </w:p>
    <w:p>
      <w:pPr>
        <w:pStyle w:val="Heading2"/>
      </w:pPr>
      <w:r>
        <w:t>4. Which data and permissions are required?</w:t>
      </w:r>
    </w:p>
    <w:p>
      <w:r>
        <w:t>Notes and evidence:</w:t>
      </w:r>
    </w:p>
    <w:p>
      <w:pPr>
        <w:pStyle w:val="Heading2"/>
      </w:pPr>
      <w:r>
        <w:t>5. What must never fail or become less controlled?</w:t>
      </w:r>
    </w:p>
    <w:p>
      <w:r>
        <w:t>Notes and evidence:</w:t>
      </w:r>
    </w:p>
    <w:p>
      <w:pPr>
        <w:pStyle w:val="Heading2"/>
      </w:pPr>
      <w:r>
        <w:t>6. How will you know the new process is acceptable?</w:t>
      </w:r>
    </w:p>
    <w:p>
      <w:r>
        <w:t>Notes and evidence:</w:t>
      </w:r>
    </w:p>
    <w:p>
      <w:pPr>
        <w:pStyle w:val="Heading1"/>
      </w:pPr>
      <w:r>
        <w:t>Decision record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Field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Response or decision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Owner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Evidence / date</w:t>
            </w:r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Role And Decision Authority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Current Trigger, Steps, And Handoffs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Volume, Timing, And Exception Cases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Data, Access, And Control Needs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Pain Evidence And Current Workaround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>
              <w:t>Desired Outcome, Concern, And Acceptance Condition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</w:tr>
    </w:tbl>
    <w:p>
      <w:pPr>
        <w:pStyle w:val="Heading1"/>
      </w:pPr>
      <w:r>
        <w:t>Decision rules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Ask for a recent example instead of a general opinion.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Interview users and approvers separately when incentives differ.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Trace every major requirement to a workflow consequence.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Return the summary to stakeholders for correction before scoring vendors.</w:t>
      </w:r>
    </w:p>
    <w:p>
      <w:pPr>
        <w:pStyle w:val="Heading1"/>
      </w:pPr>
      <w:r>
        <w:t>Failure checks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asking stakeholders to list features.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interviewing only managers.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ignoring rare exceptions that carry high risk.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turning every preference into a mandatory requirement.</w:t>
      </w:r>
    </w:p>
    <w:p>
      <w:pPr>
        <w:pStyle w:val="Heading1"/>
      </w:pPr>
      <w:r>
        <w:t>Approval and follow-up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4680"/>
        <w:gridCol w:w="4680"/>
      </w:tblGrid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Decision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Approver and role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Accepted exceptions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Required follow-up and owner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b/>
              </w:rPr>
              <w:t>Next review date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</w:tr>
    </w:tbl>
    <w:p>
      <w:pPr>
        <w:pStyle w:val="Heading1"/>
      </w:pPr>
      <w:r>
        <w:t>Authoritative references</w:t>
      </w:r>
    </w:p>
    <w:p>
      <w:pPr>
        <w:pStyle w:val="ListBullet"/>
      </w:pPr>
      <w:r>
        <w:rPr>
          <w:b/>
        </w:rPr>
        <w:t xml:space="preserve">Digital.gov user research methods: </w:t>
      </w:r>
      <w:r>
        <w:t>https://digital.gov/guides/</w:t>
      </w:r>
    </w:p>
    <w:p>
      <w:pPr>
        <w:pStyle w:val="ListBullet"/>
      </w:pPr>
      <w:r>
        <w:rPr>
          <w:b/>
        </w:rPr>
        <w:t xml:space="preserve">PlainLanguage.gov guidelines: </w:t>
      </w:r>
      <w:r>
        <w:t>https://www.plainlanguage.gov/guidelines/</w:t>
      </w:r>
    </w:p>
    <w:p>
      <w:r>
        <w:rPr>
          <w:b/>
        </w:rPr>
        <w:t xml:space="preserve">Use boundary: </w:t>
      </w:r>
      <w:r>
        <w:t>This file organizes procurement evidence. It does not replace legal, accounting, security, privacy, tax, regulatory, or technical advice for the actual transaction.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color w:val="536875"/>
        <w:sz w:val="18"/>
      </w:rPr>
      <w:t xml:space="preserve">PR97 · </w:t>
      <w:fldChar w:fldCharType="begin"/>
      <w:instrText xml:space="preserve">PAGE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jc w:val="center"/>
      <w:tblLook w:firstColumn="1" w:firstRow="1" w:lastColumn="0" w:lastRow="0" w:noHBand="0" w:noVBand="1" w:val="04A0"/>
      <w:tblBorders>
        <w:top w:val="nil"/>
        <w:left w:val="nil"/>
        <w:bottom w:val="nil"/>
        <w:right w:val="nil"/>
        <w:insideH w:val="nil"/>
        <w:insideV w:val="nil"/>
      </w:tblBorders>
    </w:tblPr>
    <w:tblGrid>
      <w:gridCol w:w="4680"/>
      <w:gridCol w:w="4680"/>
    </w:tblGrid>
    <w:tr>
      <w:tc>
        <w:tcPr>
          <w:tcW w:type="dxa" w:w="4680"/>
        </w:tcPr>
        <w:p>
          <w:r>
            <w:rPr>
              <w:b/>
            </w:rPr>
            <w:t>Software Stakeholder Interview Guide</w:t>
          </w:r>
        </w:p>
      </w:tc>
      <w:tc>
        <w:tcPr>
          <w:tcW w:type="dxa" w:w="4680"/>
        </w:tcPr>
        <w:p>
          <w:pPr>
            <w:jc w:val="right"/>
          </w:pPr>
          <w:r>
            <w:rPr>
              <w:b/>
              <w:color w:val="087C73"/>
            </w:rPr>
            <w:t>PR97 Procurement Lab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00" w:lineRule="auto" w:after="120"/>
    </w:pPr>
    <w:rPr>
      <w:rFonts w:ascii="Calibri" w:hAnsi="Calibri"/>
      <w:color w:val="263441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60" w:after="200"/>
      <w:outlineLvl w:val="0"/>
    </w:pPr>
    <w:rPr>
      <w:rFonts w:asciiTheme="majorHAnsi" w:eastAsiaTheme="majorEastAsia" w:hAnsiTheme="majorHAnsi" w:cstheme="majorBidi" w:ascii="Calibri" w:hAnsi="Calibri"/>
      <w:b/>
      <w:bCs/>
      <w:color w:val="2E74B5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40"/>
      <w:outlineLvl w:val="1"/>
    </w:pPr>
    <w:rPr>
      <w:rFonts w:asciiTheme="majorHAnsi" w:eastAsiaTheme="majorEastAsia" w:hAnsiTheme="majorHAnsi" w:cstheme="majorBidi" w:ascii="Calibri" w:hAnsi="Calibri"/>
      <w:b/>
      <w:bCs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00"/>
      <w:outlineLvl w:val="2"/>
    </w:pPr>
    <w:rPr>
      <w:rFonts w:asciiTheme="majorHAnsi" w:eastAsiaTheme="majorEastAsia" w:hAnsiTheme="majorHAnsi" w:cstheme="majorBidi" w:ascii="Calibri" w:hAnsi="Calibri"/>
      <w:b/>
      <w:bCs/>
      <w:color w:val="1F4D78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200" w:line="240" w:lineRule="auto" w:before="0"/>
      <w:contextualSpacing/>
    </w:pPr>
    <w:rPr>
      <w:rFonts w:asciiTheme="majorHAnsi" w:eastAsiaTheme="majorEastAsia" w:hAnsiTheme="majorHAnsi" w:cstheme="majorBidi" w:ascii="Calibri" w:hAnsi="Calibri"/>
      <w:b/>
      <w:color w:val="1F4D78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